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C9" w:rsidRPr="009A7DB6" w:rsidRDefault="00011CC9" w:rsidP="00011CC9">
      <w:pPr>
        <w:spacing w:before="100" w:beforeAutospacing="1" w:after="100" w:afterAutospacing="1" w:line="240" w:lineRule="auto"/>
        <w:jc w:val="center"/>
        <w:rPr>
          <w:rFonts w:ascii="Arial" w:eastAsia="Times New Roman" w:hAnsi="Arial" w:cs="Arial"/>
          <w:color w:val="333333"/>
          <w:sz w:val="20"/>
          <w:szCs w:val="20"/>
          <w:lang w:eastAsia="ru-RU"/>
        </w:rPr>
      </w:pPr>
      <w:r w:rsidRPr="009A7DB6">
        <w:rPr>
          <w:rFonts w:ascii="Arial" w:eastAsia="Times New Roman" w:hAnsi="Arial" w:cs="Arial"/>
          <w:color w:val="333333"/>
          <w:sz w:val="20"/>
          <w:szCs w:val="20"/>
          <w:lang w:eastAsia="ru-RU"/>
        </w:rPr>
        <w:t>ИНФОРМАЦИОННАЯ КАРТА ТЕНДЕРА</w:t>
      </w:r>
    </w:p>
    <w:tbl>
      <w:tblPr>
        <w:tblW w:w="10206"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147"/>
        <w:gridCol w:w="2676"/>
        <w:gridCol w:w="6383"/>
      </w:tblGrid>
      <w:tr w:rsidR="00011CC9" w:rsidRPr="009A7DB6" w:rsidTr="00507070">
        <w:trPr>
          <w:tblHeade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center"/>
              <w:rPr>
                <w:rFonts w:ascii="Arial" w:eastAsia="Times New Roman" w:hAnsi="Arial" w:cs="Arial"/>
                <w:b/>
                <w:bCs/>
                <w:color w:val="333333"/>
                <w:sz w:val="18"/>
                <w:szCs w:val="18"/>
                <w:lang w:eastAsia="ru-RU"/>
              </w:rPr>
            </w:pPr>
            <w:r w:rsidRPr="009A7DB6">
              <w:rPr>
                <w:rFonts w:ascii="Arial" w:eastAsia="Times New Roman" w:hAnsi="Arial" w:cs="Arial"/>
                <w:b/>
                <w:bCs/>
                <w:color w:val="333333"/>
                <w:sz w:val="21"/>
                <w:szCs w:val="21"/>
                <w:lang w:eastAsia="ru-RU"/>
              </w:rPr>
              <w:t>№</w:t>
            </w:r>
          </w:p>
          <w:p w:rsidR="00011CC9" w:rsidRPr="009A7DB6" w:rsidRDefault="00011CC9" w:rsidP="00507070">
            <w:pPr>
              <w:spacing w:before="100" w:beforeAutospacing="1" w:after="100" w:afterAutospacing="1" w:line="240" w:lineRule="auto"/>
              <w:jc w:val="center"/>
              <w:rPr>
                <w:rFonts w:ascii="Arial" w:eastAsia="Times New Roman" w:hAnsi="Arial" w:cs="Arial"/>
                <w:b/>
                <w:bCs/>
                <w:color w:val="333333"/>
                <w:sz w:val="18"/>
                <w:szCs w:val="18"/>
                <w:lang w:eastAsia="ru-RU"/>
              </w:rPr>
            </w:pPr>
            <w:r w:rsidRPr="009A7DB6">
              <w:rPr>
                <w:rFonts w:ascii="Arial" w:eastAsia="Times New Roman" w:hAnsi="Arial" w:cs="Arial"/>
                <w:b/>
                <w:bCs/>
                <w:color w:val="333333"/>
                <w:sz w:val="21"/>
                <w:szCs w:val="21"/>
                <w:lang w:eastAsia="ru-RU"/>
              </w:rPr>
              <w:t>пункта</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center"/>
              <w:rPr>
                <w:rFonts w:ascii="Arial" w:eastAsia="Times New Roman" w:hAnsi="Arial" w:cs="Arial"/>
                <w:b/>
                <w:bCs/>
                <w:color w:val="333333"/>
                <w:sz w:val="18"/>
                <w:szCs w:val="18"/>
                <w:lang w:eastAsia="ru-RU"/>
              </w:rPr>
            </w:pPr>
            <w:r w:rsidRPr="009A7DB6">
              <w:rPr>
                <w:rFonts w:ascii="Arial" w:eastAsia="Times New Roman" w:hAnsi="Arial" w:cs="Arial"/>
                <w:b/>
                <w:bCs/>
                <w:color w:val="333333"/>
                <w:sz w:val="21"/>
                <w:szCs w:val="21"/>
                <w:lang w:eastAsia="ru-RU"/>
              </w:rPr>
              <w:t>Наименование</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center"/>
              <w:rPr>
                <w:rFonts w:ascii="Arial" w:eastAsia="Times New Roman" w:hAnsi="Arial" w:cs="Arial"/>
                <w:b/>
                <w:bCs/>
                <w:color w:val="333333"/>
                <w:sz w:val="18"/>
                <w:szCs w:val="18"/>
                <w:lang w:eastAsia="ru-RU"/>
              </w:rPr>
            </w:pPr>
            <w:r w:rsidRPr="009A7DB6">
              <w:rPr>
                <w:rFonts w:ascii="Arial" w:eastAsia="Times New Roman" w:hAnsi="Arial" w:cs="Arial"/>
                <w:b/>
                <w:bCs/>
                <w:color w:val="333333"/>
                <w:sz w:val="21"/>
                <w:szCs w:val="21"/>
                <w:lang w:eastAsia="ru-RU"/>
              </w:rPr>
              <w:t>Информация</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 Тендер</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bookmarkStart w:id="0" w:name="_GoBack"/>
            <w:bookmarkEnd w:id="0"/>
          </w:p>
        </w:tc>
      </w:tr>
      <w:tr w:rsidR="00011CC9" w:rsidRPr="009A7DB6" w:rsidTr="00507070">
        <w:trPr>
          <w:trHeight w:val="1090"/>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2.</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Наименование заказчика, контактная информация</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3.</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Наименование тендера, вид и предмет тендера (лота)</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both"/>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Тендер на право заключения договора на оказание услуг</w:t>
            </w:r>
            <w:r w:rsidRPr="009A7DB6">
              <w:rPr>
                <w:rFonts w:ascii="Arial" w:eastAsia="Times New Roman" w:hAnsi="Arial" w:cs="Arial"/>
                <w:color w:val="333333"/>
                <w:sz w:val="21"/>
                <w:szCs w:val="21"/>
                <w:lang w:eastAsia="ru-RU"/>
              </w:rPr>
              <w:br/>
              <w:t>по предоставлению железнодорожного подвижного</w:t>
            </w:r>
            <w:r w:rsidRPr="009A7DB6">
              <w:rPr>
                <w:rFonts w:ascii="Arial" w:eastAsia="Times New Roman" w:hAnsi="Arial" w:cs="Arial"/>
                <w:color w:val="333333"/>
                <w:sz w:val="21"/>
                <w:szCs w:val="21"/>
                <w:lang w:eastAsia="ru-RU"/>
              </w:rPr>
              <w:br/>
              <w:t>состава для осуществления железнодорожных перевозок</w:t>
            </w:r>
            <w:r w:rsidRPr="009A7DB6">
              <w:rPr>
                <w:rFonts w:ascii="Arial" w:eastAsia="Times New Roman" w:hAnsi="Arial" w:cs="Arial"/>
                <w:color w:val="333333"/>
                <w:sz w:val="21"/>
                <w:szCs w:val="21"/>
                <w:lang w:eastAsia="ru-RU"/>
              </w:rPr>
              <w:br/>
              <w:t>грузов с существенными условиями</w:t>
            </w:r>
            <w:r w:rsidRPr="009A7DB6">
              <w:rPr>
                <w:rFonts w:ascii="Arial" w:eastAsia="Times New Roman" w:hAnsi="Arial" w:cs="Arial"/>
                <w:color w:val="333333"/>
                <w:sz w:val="21"/>
                <w:szCs w:val="21"/>
                <w:lang w:eastAsia="ru-RU"/>
              </w:rPr>
              <w:br/>
              <w:t>оказания услуг (предоставления железнодорожного</w:t>
            </w:r>
            <w:r w:rsidRPr="009A7DB6">
              <w:rPr>
                <w:rFonts w:ascii="Arial" w:eastAsia="Times New Roman" w:hAnsi="Arial" w:cs="Arial"/>
                <w:color w:val="333333"/>
                <w:sz w:val="21"/>
                <w:szCs w:val="21"/>
                <w:lang w:eastAsia="ru-RU"/>
              </w:rPr>
              <w:br/>
              <w:t>состава), указанными в Приложении 1 к Информационной карте тендера. Реестр лотов</w:t>
            </w:r>
            <w:r w:rsidRPr="009A7DB6">
              <w:rPr>
                <w:rFonts w:ascii="Arial" w:hAnsi="Arial" w:cs="Arial"/>
                <w:color w:val="1F2022"/>
                <w:shd w:val="clear" w:color="auto" w:fill="FFFFFF"/>
              </w:rPr>
              <w:t>.</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4.</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Официальный сайт о размещении заказов, на котором размещена тендерная документация</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hyperlink r:id="rId5" w:history="1">
              <w:r w:rsidRPr="009A7DB6">
                <w:rPr>
                  <w:rStyle w:val="a3"/>
                  <w:rFonts w:ascii="Arial" w:hAnsi="Arial" w:cs="Arial"/>
                  <w:color w:val="23527C"/>
                  <w:sz w:val="21"/>
                  <w:szCs w:val="21"/>
                  <w:shd w:val="clear" w:color="auto" w:fill="FFFFFF"/>
                </w:rPr>
                <w:t>www.railcommerce.com</w:t>
              </w:r>
            </w:hyperlink>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5.</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Предмет договора</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both"/>
              <w:rPr>
                <w:rFonts w:ascii="Arial" w:eastAsia="Times New Roman" w:hAnsi="Arial" w:cs="Arial"/>
                <w:color w:val="333333"/>
                <w:sz w:val="18"/>
                <w:szCs w:val="18"/>
                <w:lang w:eastAsia="ru-RU"/>
              </w:rPr>
            </w:pPr>
            <w:r w:rsidRPr="009A7DB6">
              <w:rPr>
                <w:rFonts w:ascii="Arial" w:hAnsi="Arial" w:cs="Arial"/>
                <w:color w:val="1F2022"/>
                <w:sz w:val="21"/>
                <w:szCs w:val="21"/>
                <w:shd w:val="clear" w:color="auto" w:fill="FFFFFF"/>
              </w:rPr>
              <w:t>Оказание Заказчиком тендера услуг по предоставлению железнодорожного подвижного состава для осуществления железнодорожных перевозок грузов Участника тендера, перевозимых в вагонах Заказчика тендера по территории Российской Федерации, за пределами территории Российской Федерации, международных перевозок,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перемещаемых через территорию Российской Федерации с территории иностранного государства на территорию иного иностранного государства, в Вагонах Заказчика тендера</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6.</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Форма, сроки и порядок оплаты товара, работ, услуг (по лотам)</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both"/>
              <w:rPr>
                <w:rFonts w:ascii="Arial" w:eastAsia="Times New Roman" w:hAnsi="Arial" w:cs="Arial"/>
                <w:color w:val="333333"/>
                <w:sz w:val="18"/>
                <w:szCs w:val="18"/>
                <w:lang w:eastAsia="ru-RU"/>
              </w:rPr>
            </w:pPr>
            <w:r w:rsidRPr="009A7DB6">
              <w:rPr>
                <w:rFonts w:ascii="Arial" w:hAnsi="Arial" w:cs="Arial"/>
                <w:color w:val="1F2022"/>
                <w:sz w:val="21"/>
                <w:szCs w:val="21"/>
                <w:shd w:val="clear" w:color="auto" w:fill="FFFFFF"/>
              </w:rPr>
              <w:t>В соответствии с условиями проекта договора на оказание услуг по предоставлению железнодорожного подвижного состава для осуществления железнодорожных перевозок;</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7.</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Требования к заявке на предоставление вагонов</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hd w:val="clear" w:color="auto" w:fill="FFFFFF"/>
              <w:spacing w:before="225" w:after="225" w:line="240" w:lineRule="auto"/>
              <w:jc w:val="both"/>
              <w:rPr>
                <w:rFonts w:ascii="Arial" w:eastAsia="Times New Roman" w:hAnsi="Arial" w:cs="Arial"/>
                <w:color w:val="1F2022"/>
                <w:sz w:val="21"/>
                <w:szCs w:val="21"/>
                <w:lang w:eastAsia="ru-RU"/>
              </w:rPr>
            </w:pPr>
            <w:r w:rsidRPr="009A7DB6">
              <w:rPr>
                <w:rFonts w:ascii="Arial" w:eastAsia="Times New Roman" w:hAnsi="Arial" w:cs="Arial"/>
                <w:color w:val="1F2022"/>
                <w:sz w:val="21"/>
                <w:szCs w:val="21"/>
                <w:lang w:eastAsia="ru-RU"/>
              </w:rPr>
              <w:t>Заявка формируется в соответствии с формой и сроками предоставления, указанными в проекте договора на оказание услуг по предоставлению железнодорожного подвижного состава для осуществления железнодорожных перевозок.</w:t>
            </w:r>
          </w:p>
          <w:p w:rsidR="00011CC9" w:rsidRPr="009A7DB6" w:rsidRDefault="00011CC9" w:rsidP="00507070">
            <w:pPr>
              <w:shd w:val="clear" w:color="auto" w:fill="FFFFFF"/>
              <w:spacing w:before="225" w:after="225" w:line="240" w:lineRule="auto"/>
              <w:jc w:val="both"/>
              <w:rPr>
                <w:rFonts w:ascii="Arial" w:eastAsia="Times New Roman" w:hAnsi="Arial" w:cs="Arial"/>
                <w:color w:val="1F2022"/>
                <w:sz w:val="21"/>
                <w:szCs w:val="21"/>
                <w:lang w:eastAsia="ru-RU"/>
              </w:rPr>
            </w:pPr>
            <w:r w:rsidRPr="009A7DB6">
              <w:rPr>
                <w:rFonts w:ascii="Arial" w:eastAsia="Times New Roman" w:hAnsi="Arial" w:cs="Arial"/>
                <w:color w:val="1F2022"/>
                <w:sz w:val="21"/>
                <w:szCs w:val="21"/>
                <w:lang w:eastAsia="ru-RU"/>
              </w:rPr>
              <w:t>Заявка на предоставление вагонов подтверждается заявкой формы ГУ-12 с соответствующими параметрами (маршрут перевозки, номенклатура перевозимого груза, период перевозки, объем погрузки).</w:t>
            </w:r>
          </w:p>
          <w:p w:rsidR="00011CC9" w:rsidRPr="009A7DB6" w:rsidRDefault="00011CC9" w:rsidP="00507070">
            <w:pPr>
              <w:shd w:val="clear" w:color="auto" w:fill="FFFFFF"/>
              <w:spacing w:before="225" w:after="225" w:line="240" w:lineRule="auto"/>
              <w:jc w:val="both"/>
              <w:rPr>
                <w:rFonts w:ascii="Arial" w:eastAsia="Times New Roman" w:hAnsi="Arial" w:cs="Arial"/>
                <w:color w:val="1F2022"/>
                <w:sz w:val="21"/>
                <w:szCs w:val="21"/>
                <w:lang w:eastAsia="ru-RU"/>
              </w:rPr>
            </w:pPr>
            <w:r w:rsidRPr="009A7DB6">
              <w:rPr>
                <w:rFonts w:ascii="Arial" w:eastAsia="Times New Roman" w:hAnsi="Arial" w:cs="Arial"/>
                <w:color w:val="1F2022"/>
                <w:sz w:val="21"/>
                <w:szCs w:val="21"/>
                <w:lang w:eastAsia="ru-RU"/>
              </w:rPr>
              <w:lastRenderedPageBreak/>
              <w:t>Заказчик в праве потребовать, а Победитель в случае предъявления требования Заказчика обязан обеспечить соблюдение следующего условия:</w:t>
            </w:r>
          </w:p>
          <w:p w:rsidR="00011CC9" w:rsidRPr="009A7DB6" w:rsidRDefault="00011CC9" w:rsidP="00507070">
            <w:pPr>
              <w:shd w:val="clear" w:color="auto" w:fill="FFFFFF"/>
              <w:spacing w:before="225" w:after="225" w:line="240" w:lineRule="auto"/>
              <w:jc w:val="both"/>
              <w:rPr>
                <w:rFonts w:ascii="Arial" w:eastAsia="Times New Roman" w:hAnsi="Arial" w:cs="Arial"/>
                <w:color w:val="1F2022"/>
                <w:sz w:val="21"/>
                <w:szCs w:val="21"/>
                <w:lang w:eastAsia="ru-RU"/>
              </w:rPr>
            </w:pPr>
            <w:r w:rsidRPr="009A7DB6">
              <w:rPr>
                <w:rFonts w:ascii="Arial" w:eastAsia="Times New Roman" w:hAnsi="Arial" w:cs="Arial"/>
                <w:color w:val="1F2022"/>
                <w:sz w:val="21"/>
                <w:szCs w:val="21"/>
                <w:lang w:eastAsia="ru-RU"/>
              </w:rPr>
              <w:t>В заявке формы ГУ-12 Победитель должен выступить в роли плательщика и/или грузоотправителя по перевозке.</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lastRenderedPageBreak/>
              <w:t>8.</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Возможность передачи права заключения договора победителем</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both"/>
              <w:rPr>
                <w:rFonts w:ascii="Arial" w:eastAsia="Times New Roman" w:hAnsi="Arial" w:cs="Arial"/>
                <w:color w:val="333333"/>
                <w:sz w:val="18"/>
                <w:szCs w:val="18"/>
                <w:lang w:eastAsia="ru-RU"/>
              </w:rPr>
            </w:pPr>
            <w:r w:rsidRPr="009A7DB6">
              <w:rPr>
                <w:rFonts w:ascii="Arial" w:hAnsi="Arial" w:cs="Arial"/>
                <w:color w:val="1F2022"/>
                <w:sz w:val="21"/>
                <w:szCs w:val="21"/>
                <w:shd w:val="clear" w:color="auto" w:fill="FFFFFF"/>
              </w:rPr>
              <w:t>Победитель вправе передать право заключения договора третьей стороне, зарегистрированной на электронной торговой площадке, не позднее чем за 15 дней до месяца организации перевозки, при этом передача права оформляется посредством подписания соответствующего соглашения – Победителем тендера, Стороной, приобретающей право на заключение договора и Организатором тендера. Все обязательства Победителя в полном объеме передаются при передаче права на заключение договора Стороне, приобретающей данное право.</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9.</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Срок и место подачи заявок на участие в тендере</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Заявки для участия в тендере подаются участниками через соответствующий раздел в личном кабинете на сайте Организатора </w:t>
            </w:r>
            <w:hyperlink r:id="rId6" w:history="1">
              <w:r w:rsidRPr="009A7DB6">
                <w:rPr>
                  <w:rStyle w:val="a3"/>
                  <w:rFonts w:ascii="Arial" w:hAnsi="Arial" w:cs="Arial"/>
                  <w:color w:val="0066CC"/>
                  <w:sz w:val="21"/>
                  <w:szCs w:val="21"/>
                </w:rPr>
                <w:t>www.railcommerce.com</w:t>
              </w:r>
            </w:hyperlink>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 xml:space="preserve">Дата начала подачи заявок на участие в тендере: </w:t>
            </w:r>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 xml:space="preserve"> _</w:t>
            </w:r>
            <w:proofErr w:type="gramStart"/>
            <w:r w:rsidRPr="009A7DB6">
              <w:rPr>
                <w:rFonts w:ascii="Arial" w:hAnsi="Arial" w:cs="Arial"/>
                <w:color w:val="1F2022"/>
                <w:sz w:val="21"/>
                <w:szCs w:val="21"/>
              </w:rPr>
              <w:t>_._</w:t>
            </w:r>
            <w:proofErr w:type="gramEnd"/>
            <w:r w:rsidRPr="009A7DB6">
              <w:rPr>
                <w:rFonts w:ascii="Arial" w:hAnsi="Arial" w:cs="Arial"/>
                <w:color w:val="1F2022"/>
                <w:sz w:val="21"/>
                <w:szCs w:val="21"/>
              </w:rPr>
              <w:t>_.2017 2017 г. 09:00</w:t>
            </w:r>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по московскому времени</w:t>
            </w:r>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Дата окончания подачи заявок на участие в тендере</w:t>
            </w:r>
            <w:proofErr w:type="gramStart"/>
            <w:r w:rsidRPr="009A7DB6">
              <w:rPr>
                <w:rFonts w:ascii="Arial" w:hAnsi="Arial" w:cs="Arial"/>
                <w:color w:val="1F2022"/>
                <w:sz w:val="21"/>
                <w:szCs w:val="21"/>
              </w:rPr>
              <w:t>: :</w:t>
            </w:r>
            <w:proofErr w:type="gramEnd"/>
            <w:r w:rsidRPr="009A7DB6">
              <w:rPr>
                <w:rFonts w:ascii="Arial" w:hAnsi="Arial" w:cs="Arial"/>
                <w:color w:val="1F2022"/>
                <w:sz w:val="21"/>
                <w:szCs w:val="21"/>
              </w:rPr>
              <w:t xml:space="preserve"> __.__.2017 2017 г 14:00 по московскому времени</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10.</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Срок и место подачи Ценовых предложений</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 xml:space="preserve">Место подачи ценовых предложений </w:t>
            </w:r>
            <w:hyperlink r:id="rId7" w:history="1">
              <w:r w:rsidRPr="009A7DB6">
                <w:rPr>
                  <w:rStyle w:val="a3"/>
                  <w:rFonts w:ascii="Arial" w:hAnsi="Arial" w:cs="Arial"/>
                  <w:sz w:val="21"/>
                  <w:szCs w:val="21"/>
                </w:rPr>
                <w:t>www.railcommerce.com</w:t>
              </w:r>
            </w:hyperlink>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Дата/время начала подачи Ценовых предложений на участие в тендере: _</w:t>
            </w:r>
            <w:proofErr w:type="gramStart"/>
            <w:r w:rsidRPr="009A7DB6">
              <w:rPr>
                <w:rFonts w:ascii="Arial" w:hAnsi="Arial" w:cs="Arial"/>
                <w:color w:val="1F2022"/>
                <w:sz w:val="21"/>
                <w:szCs w:val="21"/>
              </w:rPr>
              <w:t>_._</w:t>
            </w:r>
            <w:proofErr w:type="gramEnd"/>
            <w:r w:rsidRPr="009A7DB6">
              <w:rPr>
                <w:rFonts w:ascii="Arial" w:hAnsi="Arial" w:cs="Arial"/>
                <w:color w:val="1F2022"/>
                <w:sz w:val="21"/>
                <w:szCs w:val="21"/>
              </w:rPr>
              <w:t>_.2017 09:00 по московскому времени</w:t>
            </w:r>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Дата/время окончания приема Ценовых предложений на участие в тендере</w:t>
            </w:r>
            <w:proofErr w:type="gramStart"/>
            <w:r w:rsidRPr="009A7DB6">
              <w:rPr>
                <w:rFonts w:ascii="Arial" w:hAnsi="Arial" w:cs="Arial"/>
                <w:color w:val="1F2022"/>
                <w:sz w:val="21"/>
                <w:szCs w:val="21"/>
              </w:rPr>
              <w:t>: :</w:t>
            </w:r>
            <w:proofErr w:type="gramEnd"/>
            <w:r w:rsidRPr="009A7DB6">
              <w:rPr>
                <w:rFonts w:ascii="Arial" w:hAnsi="Arial" w:cs="Arial"/>
                <w:color w:val="1F2022"/>
                <w:sz w:val="21"/>
                <w:szCs w:val="21"/>
              </w:rPr>
              <w:t xml:space="preserve"> __.__.2017  14:00по московскому времени</w:t>
            </w:r>
          </w:p>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11.</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Обеспечение заявок на участие в тендере (лоте)</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21"/>
                <w:szCs w:val="21"/>
                <w:lang w:eastAsia="ru-RU"/>
              </w:rPr>
            </w:pPr>
            <w:r w:rsidRPr="009A7DB6">
              <w:rPr>
                <w:rFonts w:ascii="Arial" w:eastAsia="Times New Roman" w:hAnsi="Arial" w:cs="Arial"/>
                <w:color w:val="333333"/>
                <w:sz w:val="21"/>
                <w:szCs w:val="21"/>
                <w:lang w:eastAsia="ru-RU"/>
              </w:rPr>
              <w:t>Не предусмотрено</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12.</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 xml:space="preserve">Реквизиты счета для перечисления </w:t>
            </w:r>
            <w:r w:rsidRPr="009A7DB6">
              <w:rPr>
                <w:rFonts w:ascii="Arial" w:eastAsia="Times New Roman" w:hAnsi="Arial" w:cs="Arial"/>
                <w:color w:val="333333"/>
                <w:sz w:val="21"/>
                <w:szCs w:val="21"/>
                <w:lang w:eastAsia="ru-RU"/>
              </w:rPr>
              <w:lastRenderedPageBreak/>
              <w:t>денежных средств в качестве обеспечения заявок на участие в тендере (лоте)</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21"/>
                <w:szCs w:val="21"/>
                <w:lang w:eastAsia="ru-RU"/>
              </w:rPr>
            </w:pPr>
            <w:r w:rsidRPr="009A7DB6">
              <w:rPr>
                <w:rFonts w:ascii="Arial" w:eastAsia="Times New Roman" w:hAnsi="Arial" w:cs="Arial"/>
                <w:color w:val="333333"/>
                <w:sz w:val="21"/>
                <w:szCs w:val="21"/>
                <w:lang w:eastAsia="ru-RU"/>
              </w:rPr>
              <w:lastRenderedPageBreak/>
              <w:t>Не предусмотрено</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13.</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Место и дата подведения итогов тендера</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Место подведения и публикации итогов тендера: сайт </w:t>
            </w:r>
            <w:hyperlink r:id="rId8" w:history="1">
              <w:r w:rsidRPr="009A7DB6">
                <w:rPr>
                  <w:rStyle w:val="a3"/>
                  <w:rFonts w:ascii="Arial" w:hAnsi="Arial" w:cs="Arial"/>
                  <w:sz w:val="21"/>
                  <w:szCs w:val="21"/>
                </w:rPr>
                <w:t>www.railcommerce.com</w:t>
              </w:r>
            </w:hyperlink>
          </w:p>
          <w:p w:rsidR="00011CC9" w:rsidRPr="009A7DB6" w:rsidRDefault="00011CC9" w:rsidP="00507070">
            <w:pPr>
              <w:pStyle w:val="a4"/>
              <w:shd w:val="clear" w:color="auto" w:fill="FFFFFF"/>
              <w:spacing w:before="225" w:beforeAutospacing="0" w:after="225" w:afterAutospacing="0"/>
              <w:rPr>
                <w:rFonts w:ascii="Arial" w:hAnsi="Arial" w:cs="Arial"/>
                <w:color w:val="1F2022"/>
                <w:sz w:val="21"/>
                <w:szCs w:val="21"/>
              </w:rPr>
            </w:pPr>
            <w:r w:rsidRPr="009A7DB6">
              <w:rPr>
                <w:rFonts w:ascii="Arial" w:hAnsi="Arial" w:cs="Arial"/>
                <w:color w:val="1F2022"/>
                <w:sz w:val="21"/>
                <w:szCs w:val="21"/>
              </w:rPr>
              <w:t>_</w:t>
            </w:r>
            <w:proofErr w:type="gramStart"/>
            <w:r w:rsidRPr="009A7DB6">
              <w:rPr>
                <w:rFonts w:ascii="Arial" w:hAnsi="Arial" w:cs="Arial"/>
                <w:color w:val="1F2022"/>
                <w:sz w:val="21"/>
                <w:szCs w:val="21"/>
              </w:rPr>
              <w:t>_._</w:t>
            </w:r>
            <w:proofErr w:type="gramEnd"/>
            <w:r w:rsidRPr="009A7DB6">
              <w:rPr>
                <w:rFonts w:ascii="Arial" w:hAnsi="Arial" w:cs="Arial"/>
                <w:color w:val="1F2022"/>
                <w:sz w:val="21"/>
                <w:szCs w:val="21"/>
              </w:rPr>
              <w:t>_.2017 15:00 по московскому времени</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14.</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Обеспечение исполнения договора (по лотам)</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18"/>
                <w:szCs w:val="18"/>
                <w:lang w:eastAsia="ru-RU"/>
              </w:rPr>
              <w:t>Не предусмотрено</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15.</w:t>
            </w:r>
          </w:p>
        </w:tc>
        <w:tc>
          <w:tcPr>
            <w:tcW w:w="2676"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rPr>
                <w:rFonts w:ascii="Arial" w:eastAsia="Times New Roman" w:hAnsi="Arial" w:cs="Arial"/>
                <w:color w:val="333333"/>
                <w:sz w:val="18"/>
                <w:szCs w:val="18"/>
                <w:lang w:eastAsia="ru-RU"/>
              </w:rPr>
            </w:pPr>
            <w:r w:rsidRPr="009A7DB6">
              <w:rPr>
                <w:rFonts w:ascii="Arial" w:eastAsia="Times New Roman" w:hAnsi="Arial" w:cs="Arial"/>
                <w:color w:val="333333"/>
                <w:sz w:val="21"/>
                <w:szCs w:val="21"/>
                <w:lang w:eastAsia="ru-RU"/>
              </w:rPr>
              <w:t>Срок подписания проекта договора победителем тендера</w:t>
            </w:r>
          </w:p>
        </w:tc>
        <w:tc>
          <w:tcPr>
            <w:tcW w:w="6383" w:type="dxa"/>
            <w:tcBorders>
              <w:top w:val="outset" w:sz="6" w:space="0" w:color="auto"/>
              <w:left w:val="outset" w:sz="6" w:space="0" w:color="auto"/>
              <w:bottom w:val="outset" w:sz="6" w:space="0" w:color="auto"/>
              <w:right w:val="outset" w:sz="6" w:space="0" w:color="auto"/>
            </w:tcBorders>
            <w:vAlign w:val="center"/>
            <w:hideMark/>
          </w:tcPr>
          <w:p w:rsidR="00011CC9" w:rsidRPr="009A7DB6" w:rsidRDefault="00011CC9" w:rsidP="00507070">
            <w:pPr>
              <w:spacing w:before="100" w:beforeAutospacing="1" w:after="100" w:afterAutospacing="1" w:line="240" w:lineRule="auto"/>
              <w:jc w:val="both"/>
              <w:rPr>
                <w:rFonts w:ascii="Arial" w:eastAsia="Times New Roman" w:hAnsi="Arial" w:cs="Arial"/>
                <w:color w:val="333333"/>
                <w:sz w:val="18"/>
                <w:szCs w:val="18"/>
                <w:lang w:eastAsia="ru-RU"/>
              </w:rPr>
            </w:pPr>
            <w:r w:rsidRPr="009A7DB6">
              <w:rPr>
                <w:rFonts w:ascii="Arial" w:hAnsi="Arial" w:cs="Arial"/>
                <w:color w:val="1F2022"/>
                <w:sz w:val="21"/>
                <w:szCs w:val="21"/>
                <w:shd w:val="clear" w:color="auto" w:fill="FFFFFF"/>
              </w:rPr>
              <w:t>Не позднее чем за 10 дней до месяца начала перевозки. При наличии у Победителя договора с Заказчиком подписанном в форме договора указанного в тендерной документации допускается предоставление услуг в рамках ранее подписанного договора.</w:t>
            </w: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tcPr>
          <w:p w:rsidR="00011CC9" w:rsidRPr="009A7DB6" w:rsidRDefault="00011CC9" w:rsidP="00507070">
            <w:pPr>
              <w:spacing w:before="100" w:beforeAutospacing="1" w:after="100" w:afterAutospacing="1" w:line="240" w:lineRule="auto"/>
              <w:rPr>
                <w:rFonts w:ascii="Arial" w:eastAsia="Times New Roman" w:hAnsi="Arial" w:cs="Arial"/>
                <w:color w:val="333333"/>
                <w:sz w:val="21"/>
                <w:szCs w:val="21"/>
                <w:lang w:eastAsia="ru-RU"/>
              </w:rPr>
            </w:pPr>
            <w:r w:rsidRPr="009A7DB6">
              <w:rPr>
                <w:rFonts w:ascii="Arial" w:eastAsia="Times New Roman" w:hAnsi="Arial" w:cs="Arial"/>
                <w:color w:val="333333"/>
                <w:sz w:val="21"/>
                <w:szCs w:val="21"/>
                <w:lang w:eastAsia="ru-RU"/>
              </w:rPr>
              <w:t>16.</w:t>
            </w:r>
          </w:p>
        </w:tc>
        <w:tc>
          <w:tcPr>
            <w:tcW w:w="2676" w:type="dxa"/>
            <w:tcBorders>
              <w:top w:val="outset" w:sz="6" w:space="0" w:color="auto"/>
              <w:left w:val="outset" w:sz="6" w:space="0" w:color="auto"/>
              <w:bottom w:val="outset" w:sz="6" w:space="0" w:color="auto"/>
              <w:right w:val="outset" w:sz="6" w:space="0" w:color="auto"/>
            </w:tcBorders>
            <w:vAlign w:val="center"/>
          </w:tcPr>
          <w:p w:rsidR="00011CC9" w:rsidRPr="009A7DB6" w:rsidRDefault="00011CC9" w:rsidP="00507070">
            <w:pPr>
              <w:spacing w:before="100" w:beforeAutospacing="1" w:after="100" w:afterAutospacing="1" w:line="240" w:lineRule="auto"/>
              <w:rPr>
                <w:rFonts w:ascii="Arial" w:eastAsia="Times New Roman" w:hAnsi="Arial" w:cs="Arial"/>
                <w:color w:val="333333"/>
                <w:sz w:val="21"/>
                <w:szCs w:val="21"/>
                <w:lang w:eastAsia="ru-RU"/>
              </w:rPr>
            </w:pPr>
            <w:r w:rsidRPr="009A7DB6">
              <w:rPr>
                <w:rFonts w:ascii="Arial" w:eastAsia="Times New Roman" w:hAnsi="Arial" w:cs="Arial"/>
                <w:color w:val="333333"/>
                <w:sz w:val="21"/>
                <w:szCs w:val="21"/>
                <w:lang w:eastAsia="ru-RU"/>
              </w:rPr>
              <w:t>Иные условия (при наличии)</w:t>
            </w:r>
          </w:p>
        </w:tc>
        <w:tc>
          <w:tcPr>
            <w:tcW w:w="6383" w:type="dxa"/>
            <w:tcBorders>
              <w:top w:val="outset" w:sz="6" w:space="0" w:color="auto"/>
              <w:left w:val="outset" w:sz="6" w:space="0" w:color="auto"/>
              <w:bottom w:val="outset" w:sz="6" w:space="0" w:color="auto"/>
              <w:right w:val="outset" w:sz="6" w:space="0" w:color="auto"/>
            </w:tcBorders>
            <w:vAlign w:val="center"/>
          </w:tcPr>
          <w:p w:rsidR="00011CC9" w:rsidRPr="009A7DB6" w:rsidRDefault="00011CC9" w:rsidP="00011CC9">
            <w:pPr>
              <w:numPr>
                <w:ilvl w:val="0"/>
                <w:numId w:val="1"/>
              </w:numPr>
              <w:shd w:val="clear" w:color="auto" w:fill="FFFFFF"/>
              <w:spacing w:before="100" w:beforeAutospacing="1" w:after="100" w:afterAutospacing="1" w:line="240" w:lineRule="auto"/>
              <w:ind w:left="0"/>
              <w:jc w:val="both"/>
              <w:rPr>
                <w:rFonts w:ascii="Arial" w:hAnsi="Arial" w:cs="Arial"/>
                <w:color w:val="1F2022"/>
                <w:sz w:val="21"/>
                <w:szCs w:val="21"/>
              </w:rPr>
            </w:pPr>
            <w:r w:rsidRPr="009A7DB6">
              <w:rPr>
                <w:rFonts w:ascii="Arial" w:hAnsi="Arial" w:cs="Arial"/>
                <w:color w:val="1F2022"/>
                <w:sz w:val="21"/>
                <w:szCs w:val="21"/>
              </w:rPr>
              <w:t>Допускается корректировка объема перевозок по инициативе победителя тендера, при условии согласия Заказчика, в пределах +/- 10% от первоначально заявленного объема перевозки;</w:t>
            </w:r>
          </w:p>
          <w:p w:rsidR="00011CC9" w:rsidRPr="009A7DB6" w:rsidRDefault="00011CC9" w:rsidP="00011CC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p>
        </w:tc>
      </w:tr>
      <w:tr w:rsidR="00011CC9" w:rsidRPr="009A7DB6" w:rsidTr="00507070">
        <w:trPr>
          <w:tblCellSpacing w:w="0" w:type="dxa"/>
          <w:jc w:val="center"/>
        </w:trPr>
        <w:tc>
          <w:tcPr>
            <w:tcW w:w="1147" w:type="dxa"/>
            <w:tcBorders>
              <w:top w:val="outset" w:sz="6" w:space="0" w:color="auto"/>
              <w:left w:val="outset" w:sz="6" w:space="0" w:color="auto"/>
              <w:bottom w:val="outset" w:sz="6" w:space="0" w:color="auto"/>
              <w:right w:val="outset" w:sz="6" w:space="0" w:color="auto"/>
            </w:tcBorders>
            <w:vAlign w:val="center"/>
          </w:tcPr>
          <w:p w:rsidR="00011CC9" w:rsidRPr="009A7DB6" w:rsidRDefault="00011CC9" w:rsidP="00507070">
            <w:pPr>
              <w:spacing w:before="100" w:beforeAutospacing="1" w:after="100" w:afterAutospacing="1" w:line="240" w:lineRule="auto"/>
              <w:rPr>
                <w:rFonts w:ascii="Arial" w:eastAsia="Times New Roman" w:hAnsi="Arial" w:cs="Arial"/>
                <w:color w:val="333333"/>
                <w:sz w:val="21"/>
                <w:szCs w:val="21"/>
                <w:lang w:eastAsia="ru-RU"/>
              </w:rPr>
            </w:pPr>
            <w:r w:rsidRPr="009A7DB6">
              <w:rPr>
                <w:rFonts w:ascii="Arial" w:eastAsia="Times New Roman" w:hAnsi="Arial" w:cs="Arial"/>
                <w:color w:val="333333"/>
                <w:sz w:val="21"/>
                <w:szCs w:val="21"/>
                <w:lang w:eastAsia="ru-RU"/>
              </w:rPr>
              <w:t>17</w:t>
            </w:r>
          </w:p>
        </w:tc>
        <w:tc>
          <w:tcPr>
            <w:tcW w:w="2676" w:type="dxa"/>
            <w:tcBorders>
              <w:top w:val="outset" w:sz="6" w:space="0" w:color="auto"/>
              <w:left w:val="outset" w:sz="6" w:space="0" w:color="auto"/>
              <w:bottom w:val="outset" w:sz="6" w:space="0" w:color="auto"/>
              <w:right w:val="outset" w:sz="6" w:space="0" w:color="auto"/>
            </w:tcBorders>
            <w:vAlign w:val="center"/>
          </w:tcPr>
          <w:p w:rsidR="00011CC9" w:rsidRPr="009A7DB6" w:rsidRDefault="00011CC9" w:rsidP="00507070">
            <w:pPr>
              <w:spacing w:before="100" w:beforeAutospacing="1" w:after="100" w:afterAutospacing="1" w:line="240" w:lineRule="auto"/>
              <w:rPr>
                <w:rFonts w:ascii="Arial" w:eastAsia="Times New Roman" w:hAnsi="Arial" w:cs="Arial"/>
                <w:color w:val="333333"/>
                <w:sz w:val="21"/>
                <w:szCs w:val="21"/>
                <w:lang w:eastAsia="ru-RU"/>
              </w:rPr>
            </w:pPr>
            <w:r w:rsidRPr="009A7DB6">
              <w:rPr>
                <w:rFonts w:ascii="Arial" w:hAnsi="Arial" w:cs="Arial"/>
                <w:color w:val="1F2022"/>
                <w:sz w:val="21"/>
                <w:szCs w:val="21"/>
              </w:rPr>
              <w:t>Комиссия организатора (электронной торговой площадки), порядок оплаты.</w:t>
            </w:r>
          </w:p>
        </w:tc>
        <w:tc>
          <w:tcPr>
            <w:tcW w:w="6383" w:type="dxa"/>
            <w:tcBorders>
              <w:top w:val="outset" w:sz="6" w:space="0" w:color="auto"/>
              <w:left w:val="outset" w:sz="6" w:space="0" w:color="auto"/>
              <w:bottom w:val="outset" w:sz="6" w:space="0" w:color="auto"/>
              <w:right w:val="outset" w:sz="6" w:space="0" w:color="auto"/>
            </w:tcBorders>
            <w:vAlign w:val="center"/>
          </w:tcPr>
          <w:p w:rsidR="00011CC9" w:rsidRPr="009A7DB6" w:rsidRDefault="00011CC9" w:rsidP="00011CC9">
            <w:pPr>
              <w:numPr>
                <w:ilvl w:val="0"/>
                <w:numId w:val="1"/>
              </w:numPr>
              <w:shd w:val="clear" w:color="auto" w:fill="FFFFFF"/>
              <w:spacing w:before="100" w:beforeAutospacing="1" w:after="100" w:afterAutospacing="1" w:line="240" w:lineRule="auto"/>
              <w:ind w:left="0"/>
              <w:jc w:val="both"/>
              <w:rPr>
                <w:rFonts w:ascii="Arial" w:hAnsi="Arial" w:cs="Arial"/>
                <w:color w:val="1F2022"/>
                <w:sz w:val="21"/>
                <w:szCs w:val="21"/>
              </w:rPr>
            </w:pPr>
            <w:r w:rsidRPr="009A7DB6">
              <w:rPr>
                <w:rFonts w:ascii="Arial" w:hAnsi="Arial" w:cs="Arial"/>
                <w:color w:val="1F2022"/>
                <w:sz w:val="21"/>
                <w:szCs w:val="21"/>
              </w:rPr>
              <w:t>Вознаграждение организатора торгов - в соответствии с Публичным договором офертой, размещенным на электронной торговой площадке. Оплата производится в течение 3-х рабочих дней с даты публикации информации о победителе тендера на сайте</w:t>
            </w:r>
            <w:r w:rsidRPr="009A7DB6">
              <w:rPr>
                <w:rFonts w:ascii="Arial" w:hAnsi="Arial" w:cs="Arial"/>
                <w:color w:val="1F2022"/>
                <w:shd w:val="clear" w:color="auto" w:fill="FFFFFF"/>
              </w:rPr>
              <w:t> </w:t>
            </w:r>
            <w:hyperlink r:id="rId9" w:history="1">
              <w:r w:rsidRPr="009A7DB6">
                <w:rPr>
                  <w:rStyle w:val="a3"/>
                  <w:rFonts w:ascii="Arial" w:hAnsi="Arial" w:cs="Arial"/>
                  <w:shd w:val="clear" w:color="auto" w:fill="FFFFFF"/>
                </w:rPr>
                <w:t>www.railcommerce.com </w:t>
              </w:r>
            </w:hyperlink>
          </w:p>
        </w:tc>
      </w:tr>
    </w:tbl>
    <w:p w:rsidR="00011CC9" w:rsidRPr="009A7DB6" w:rsidRDefault="00011CC9" w:rsidP="00011CC9">
      <w:pPr>
        <w:rPr>
          <w:rFonts w:ascii="Arial" w:hAnsi="Arial" w:cs="Arial"/>
        </w:rPr>
      </w:pPr>
    </w:p>
    <w:p w:rsidR="00152DBB" w:rsidRDefault="00152DBB"/>
    <w:sectPr w:rsidR="00152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54D"/>
    <w:multiLevelType w:val="multilevel"/>
    <w:tmpl w:val="C786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C9"/>
    <w:rsid w:val="00010565"/>
    <w:rsid w:val="00011CC9"/>
    <w:rsid w:val="00152DBB"/>
    <w:rsid w:val="00A2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3689B-3CBF-42F9-8C7A-53AF930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CC9"/>
    <w:rPr>
      <w:color w:val="0782C1"/>
      <w:u w:val="single"/>
    </w:rPr>
  </w:style>
  <w:style w:type="paragraph" w:styleId="a4">
    <w:name w:val="Normal (Web)"/>
    <w:basedOn w:val="a"/>
    <w:uiPriority w:val="99"/>
    <w:unhideWhenUsed/>
    <w:rsid w:val="00011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lcommerce.com/" TargetMode="External"/><Relationship Id="rId3" Type="http://schemas.openxmlformats.org/officeDocument/2006/relationships/settings" Target="settings.xml"/><Relationship Id="rId7" Type="http://schemas.openxmlformats.org/officeDocument/2006/relationships/hyperlink" Target="https://railcomme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lcommerce.com/" TargetMode="External"/><Relationship Id="rId11" Type="http://schemas.openxmlformats.org/officeDocument/2006/relationships/theme" Target="theme/theme1.xml"/><Relationship Id="rId5" Type="http://schemas.openxmlformats.org/officeDocument/2006/relationships/hyperlink" Target="https://railcommer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ilcommer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a.chistyunina</dc:creator>
  <cp:keywords/>
  <dc:description/>
  <cp:lastModifiedBy>a.chistyunina</cp:lastModifiedBy>
  <cp:revision>1</cp:revision>
  <dcterms:created xsi:type="dcterms:W3CDTF">2017-08-29T13:31:00Z</dcterms:created>
  <dcterms:modified xsi:type="dcterms:W3CDTF">2017-08-29T13:32:00Z</dcterms:modified>
</cp:coreProperties>
</file>